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3A3E02" w:rsidRDefault="00915939" w:rsidP="003223BA">
      <w:pPr>
        <w:spacing w:line="360" w:lineRule="auto"/>
        <w:jc w:val="center"/>
        <w:rPr>
          <w:rFonts w:cstheme="minorHAnsi"/>
          <w:b/>
          <w:sz w:val="36"/>
          <w:szCs w:val="36"/>
          <w:lang w:val="en-US"/>
        </w:rPr>
      </w:pPr>
      <w:r w:rsidRPr="003A3E02">
        <w:rPr>
          <w:rFonts w:cstheme="minorHAnsi"/>
          <w:b/>
          <w:sz w:val="36"/>
          <w:szCs w:val="36"/>
          <w:lang w:val="en-US"/>
        </w:rPr>
        <w:t>1</w:t>
      </w:r>
      <w:r w:rsidR="00A210D1" w:rsidRPr="003A3E02">
        <w:rPr>
          <w:rFonts w:cstheme="minorHAnsi"/>
          <w:b/>
          <w:sz w:val="36"/>
          <w:szCs w:val="36"/>
          <w:lang w:val="en-US"/>
        </w:rPr>
        <w:t>0W-4</w:t>
      </w:r>
      <w:r w:rsidR="003223BA" w:rsidRPr="003A3E02">
        <w:rPr>
          <w:rFonts w:cstheme="minorHAnsi"/>
          <w:b/>
          <w:sz w:val="36"/>
          <w:szCs w:val="36"/>
          <w:lang w:val="en-US"/>
        </w:rPr>
        <w:t xml:space="preserve">0 </w:t>
      </w:r>
      <w:r w:rsidRPr="003A3E02">
        <w:rPr>
          <w:rFonts w:cstheme="minorHAnsi"/>
          <w:b/>
          <w:sz w:val="36"/>
          <w:szCs w:val="36"/>
          <w:lang w:val="en-US"/>
        </w:rPr>
        <w:t>CI-4/SL</w:t>
      </w:r>
    </w:p>
    <w:p w:rsidR="00A210D1" w:rsidRDefault="00A210D1" w:rsidP="00A210D1">
      <w:pPr>
        <w:spacing w:line="360" w:lineRule="auto"/>
        <w:jc w:val="both"/>
        <w:rPr>
          <w:rFonts w:ascii="Calibri" w:hAnsi="Calibri" w:cs="Calibri"/>
          <w:sz w:val="22"/>
          <w:szCs w:val="22"/>
        </w:rPr>
      </w:pPr>
      <w:r w:rsidRPr="007D4E3A">
        <w:rPr>
          <w:rFonts w:ascii="Calibri" w:hAnsi="Calibri" w:cs="Calibri"/>
          <w:sz w:val="22"/>
          <w:szCs w:val="22"/>
        </w:rPr>
        <w:t>Sent</w:t>
      </w:r>
      <w:r>
        <w:rPr>
          <w:rFonts w:ascii="Calibri" w:hAnsi="Calibri" w:cs="Calibri"/>
          <w:sz w:val="22"/>
          <w:szCs w:val="22"/>
        </w:rPr>
        <w:t>etik baz yağları ile ileri teknoloji performans katkı paketleri ile hazırlanmış tam sentetik motor yağıdır. Binek ve ticari araçlarda, Avrupa ve Amerikan tasarımlı, düşük emisyonlu, turboşarjlı motorlarda kullanımı tavsiye edilir. Karayollarında çalışarak hem yüksek hız/ağır yük altında, hem de hafif ve ağır kamyon taşımacılığında kısa mesafelerde yükleme/indirme yapan, inşaat ve tarım gibi arazi şartlarında ağır yük altında çalışan araçlarda da tavsiye edilir.</w:t>
      </w:r>
    </w:p>
    <w:p w:rsidR="00A210D1" w:rsidRDefault="00A210D1" w:rsidP="00A210D1">
      <w:pPr>
        <w:spacing w:line="360" w:lineRule="auto"/>
        <w:jc w:val="both"/>
        <w:rPr>
          <w:rFonts w:ascii="Calibri" w:hAnsi="Calibri" w:cs="Calibri"/>
          <w:sz w:val="22"/>
          <w:szCs w:val="22"/>
        </w:rPr>
      </w:pPr>
    </w:p>
    <w:p w:rsidR="00915939" w:rsidRDefault="00915939" w:rsidP="00915939">
      <w:pPr>
        <w:spacing w:line="276" w:lineRule="auto"/>
        <w:jc w:val="both"/>
        <w:rPr>
          <w:sz w:val="22"/>
          <w:szCs w:val="22"/>
        </w:rPr>
      </w:pPr>
    </w:p>
    <w:p w:rsidR="00A210D1" w:rsidRDefault="00A210D1" w:rsidP="00A210D1">
      <w:pPr>
        <w:spacing w:line="360" w:lineRule="auto"/>
        <w:jc w:val="both"/>
        <w:rPr>
          <w:rFonts w:ascii="Calibri" w:hAnsi="Calibri" w:cs="Calibri"/>
          <w:sz w:val="22"/>
          <w:szCs w:val="22"/>
          <w:lang w:val="en-US"/>
        </w:rPr>
      </w:pPr>
      <w:r>
        <w:rPr>
          <w:rFonts w:ascii="Calibri" w:hAnsi="Calibri" w:cs="Calibri"/>
          <w:b/>
          <w:i/>
          <w:sz w:val="22"/>
          <w:szCs w:val="22"/>
        </w:rPr>
        <w:t>Özellikler</w:t>
      </w:r>
      <w:r>
        <w:rPr>
          <w:rFonts w:ascii="Calibri" w:hAnsi="Calibri" w:cs="Calibri"/>
          <w:sz w:val="22"/>
          <w:szCs w:val="22"/>
          <w:lang w:val="en-US"/>
        </w:rPr>
        <w:t xml:space="preserve"> </w:t>
      </w:r>
    </w:p>
    <w:p w:rsidR="00A210D1" w:rsidRDefault="00A210D1" w:rsidP="00A210D1">
      <w:pPr>
        <w:spacing w:line="360" w:lineRule="auto"/>
        <w:jc w:val="both"/>
        <w:rPr>
          <w:rFonts w:ascii="Calibri" w:hAnsi="Calibri" w:cs="Calibri"/>
          <w:sz w:val="22"/>
          <w:szCs w:val="22"/>
        </w:rPr>
      </w:pPr>
      <w:r>
        <w:rPr>
          <w:rFonts w:ascii="Calibri" w:hAnsi="Calibri" w:cs="Calibri"/>
          <w:sz w:val="22"/>
          <w:szCs w:val="22"/>
        </w:rPr>
        <w:t>Düşük sıcaklıklarda üstün akışkanlığı sayesinde daha kolay ilk çalışma sağlar.</w:t>
      </w:r>
    </w:p>
    <w:p w:rsidR="00A210D1" w:rsidRDefault="00A210D1" w:rsidP="00A210D1">
      <w:pPr>
        <w:spacing w:line="360" w:lineRule="auto"/>
        <w:jc w:val="both"/>
        <w:rPr>
          <w:rFonts w:ascii="Calibri" w:hAnsi="Calibri" w:cs="Calibri"/>
          <w:sz w:val="22"/>
          <w:szCs w:val="22"/>
        </w:rPr>
      </w:pPr>
      <w:r>
        <w:rPr>
          <w:rFonts w:ascii="Calibri" w:hAnsi="Calibri" w:cs="Calibri"/>
          <w:sz w:val="22"/>
          <w:szCs w:val="22"/>
        </w:rPr>
        <w:t>Mükemmel viskozite kontrolü özelliği ile yakıt ekonomisi ve uzun servis ömrü sağlar.</w:t>
      </w:r>
    </w:p>
    <w:p w:rsidR="00A210D1" w:rsidRDefault="00A210D1" w:rsidP="00A210D1">
      <w:pPr>
        <w:spacing w:line="360" w:lineRule="auto"/>
        <w:jc w:val="both"/>
        <w:rPr>
          <w:rFonts w:ascii="Calibri" w:hAnsi="Calibri" w:cs="Calibri"/>
          <w:sz w:val="22"/>
          <w:szCs w:val="22"/>
        </w:rPr>
      </w:pPr>
      <w:r>
        <w:rPr>
          <w:rFonts w:ascii="Calibri" w:hAnsi="Calibri" w:cs="Calibri"/>
          <w:sz w:val="22"/>
          <w:szCs w:val="22"/>
        </w:rPr>
        <w:t>Yüksek viskozite indeksinden dolayı yırtınmaya karşı yüksek dirence sahiptir.</w:t>
      </w:r>
    </w:p>
    <w:p w:rsidR="00A210D1" w:rsidRDefault="00A210D1" w:rsidP="00A210D1">
      <w:pPr>
        <w:spacing w:line="360" w:lineRule="auto"/>
        <w:jc w:val="both"/>
        <w:rPr>
          <w:rFonts w:ascii="Calibri" w:hAnsi="Calibri" w:cs="Calibri"/>
          <w:sz w:val="22"/>
          <w:szCs w:val="22"/>
        </w:rPr>
      </w:pPr>
      <w:r>
        <w:rPr>
          <w:rFonts w:ascii="Calibri" w:hAnsi="Calibri" w:cs="Calibri"/>
          <w:sz w:val="22"/>
          <w:szCs w:val="22"/>
        </w:rPr>
        <w:t>Yüksek kükürtlü yakıt kullanımında dahi yağ değişim aralıklarını uzatır.</w:t>
      </w:r>
    </w:p>
    <w:p w:rsidR="00915939" w:rsidRDefault="00915939" w:rsidP="00562EAD">
      <w:pPr>
        <w:spacing w:line="360" w:lineRule="auto"/>
        <w:jc w:val="both"/>
        <w:rPr>
          <w:rFonts w:eastAsia="Times New Roman" w:cstheme="minorHAnsi"/>
          <w:color w:val="000000"/>
          <w:sz w:val="22"/>
          <w:szCs w:val="22"/>
          <w:lang w:eastAsia="tr-TR"/>
        </w:rPr>
      </w:pPr>
    </w:p>
    <w:p w:rsidR="00EE5555" w:rsidRPr="00F67BC5" w:rsidRDefault="00EE5555" w:rsidP="00562EAD">
      <w:pPr>
        <w:spacing w:line="360" w:lineRule="auto"/>
        <w:jc w:val="both"/>
        <w:rPr>
          <w:rFonts w:eastAsia="Times New Roman" w:cstheme="minorHAnsi"/>
          <w:color w:val="000000"/>
          <w:sz w:val="22"/>
          <w:szCs w:val="22"/>
          <w:lang w:eastAsia="tr-TR"/>
        </w:rPr>
      </w:pPr>
    </w:p>
    <w:p w:rsidR="00A03618" w:rsidRDefault="00A03618" w:rsidP="00A03618">
      <w:pPr>
        <w:spacing w:line="360" w:lineRule="auto"/>
        <w:jc w:val="both"/>
        <w:rPr>
          <w:rFonts w:eastAsia="Times New Roman" w:cstheme="minorHAnsi"/>
          <w:b/>
          <w:color w:val="2B2626"/>
          <w:sz w:val="22"/>
          <w:szCs w:val="22"/>
          <w:lang w:eastAsia="tr-TR"/>
        </w:rPr>
      </w:pPr>
      <w:r w:rsidRPr="00C376F8">
        <w:rPr>
          <w:rFonts w:eastAsia="Times New Roman" w:cstheme="minorHAnsi"/>
          <w:b/>
          <w:color w:val="2B2626"/>
          <w:sz w:val="22"/>
          <w:szCs w:val="22"/>
          <w:lang w:eastAsia="tr-TR"/>
        </w:rPr>
        <w:t>Sertifikalar ve Standartlar</w:t>
      </w:r>
      <w:r>
        <w:rPr>
          <w:rFonts w:eastAsia="Times New Roman" w:cstheme="minorHAnsi"/>
          <w:b/>
          <w:color w:val="2B2626"/>
          <w:sz w:val="22"/>
          <w:szCs w:val="22"/>
          <w:lang w:eastAsia="tr-TR"/>
        </w:rPr>
        <w:t>:</w:t>
      </w:r>
    </w:p>
    <w:p w:rsidR="00915939" w:rsidRDefault="00915939" w:rsidP="00562EAD">
      <w:pPr>
        <w:spacing w:line="360" w:lineRule="auto"/>
        <w:jc w:val="both"/>
        <w:rPr>
          <w:color w:val="000000"/>
          <w:sz w:val="22"/>
          <w:szCs w:val="22"/>
        </w:rPr>
      </w:pPr>
      <w:r>
        <w:rPr>
          <w:color w:val="000000"/>
          <w:sz w:val="22"/>
          <w:szCs w:val="22"/>
        </w:rPr>
        <w:t>API CI-4/SL</w:t>
      </w:r>
      <w:r w:rsidRPr="008A1C0D">
        <w:rPr>
          <w:color w:val="000000"/>
          <w:sz w:val="22"/>
          <w:szCs w:val="22"/>
        </w:rPr>
        <w:t> </w:t>
      </w:r>
    </w:p>
    <w:p w:rsidR="00915939"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ACEA 2010 E6,E7,E9-08 ISSUE 2</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DAİMLER MB 228.51</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MAN 228.51,MAN M3477,3271-1,MTU TYPE 3.1</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VOLVO VDS-3,CNG</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RENAULT TRUCKS RXD,RLD-2,RGD,</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MACK EO-N,EO-M PLUS</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CUMMINS CES 20076/77</w:t>
      </w:r>
    </w:p>
    <w:p w:rsidR="00A210D1"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CATERPILLAR ECF-1-a</w:t>
      </w:r>
    </w:p>
    <w:p w:rsidR="00A210D1" w:rsidRPr="00F67BC5" w:rsidRDefault="00A210D1"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DEUT DQC IV-10 LA,SCANIA LOW ASH</w:t>
      </w:r>
    </w:p>
    <w:p w:rsidR="00764F44" w:rsidRDefault="00764F44" w:rsidP="00562EAD">
      <w:pPr>
        <w:spacing w:line="360" w:lineRule="auto"/>
        <w:jc w:val="both"/>
        <w:rPr>
          <w:rFonts w:ascii="Arial" w:eastAsia="Times New Roman" w:hAnsi="Arial" w:cs="Arial"/>
          <w:color w:val="000000"/>
          <w:lang w:eastAsia="tr-TR"/>
        </w:rPr>
      </w:pPr>
    </w:p>
    <w:p w:rsidR="00764F44" w:rsidRDefault="00764F44">
      <w:pPr>
        <w:spacing w:after="160" w:line="259" w:lineRule="auto"/>
        <w:rPr>
          <w:rFonts w:ascii="Arial" w:eastAsia="Times New Roman" w:hAnsi="Arial" w:cs="Arial"/>
          <w:color w:val="000000"/>
          <w:lang w:eastAsia="tr-TR"/>
        </w:rPr>
      </w:pPr>
    </w:p>
    <w:p w:rsidR="00915939" w:rsidRDefault="00915939">
      <w:pPr>
        <w:spacing w:after="160" w:line="259" w:lineRule="auto"/>
        <w:rPr>
          <w:rFonts w:ascii="Arial" w:eastAsia="Times New Roman" w:hAnsi="Arial" w:cs="Arial"/>
          <w:color w:val="000000"/>
          <w:lang w:eastAsia="tr-TR"/>
        </w:rPr>
      </w:pPr>
    </w:p>
    <w:p w:rsidR="00764F44" w:rsidRDefault="00764F44" w:rsidP="00764F44">
      <w:pPr>
        <w:rPr>
          <w:rFonts w:ascii="Arial" w:hAnsi="Arial" w:cs="Arial"/>
          <w:b/>
          <w:i/>
        </w:rPr>
      </w:pPr>
    </w:p>
    <w:p w:rsidR="000007DF" w:rsidRDefault="000007DF" w:rsidP="00764F44">
      <w:pPr>
        <w:rPr>
          <w:rFonts w:ascii="Arial" w:hAnsi="Arial" w:cs="Arial"/>
          <w:b/>
          <w:i/>
        </w:rPr>
      </w:pPr>
    </w:p>
    <w:p w:rsidR="000007DF" w:rsidRDefault="000007DF" w:rsidP="00764F44">
      <w:pPr>
        <w:rPr>
          <w:rFonts w:ascii="Arial" w:hAnsi="Arial" w:cs="Arial"/>
          <w:b/>
          <w:i/>
        </w:rPr>
      </w:pPr>
    </w:p>
    <w:p w:rsidR="000007DF" w:rsidRDefault="000007DF" w:rsidP="00764F44">
      <w:pPr>
        <w:rPr>
          <w:rFonts w:ascii="Arial" w:hAnsi="Arial" w:cs="Arial"/>
          <w:b/>
          <w:i/>
        </w:rPr>
      </w:pPr>
    </w:p>
    <w:p w:rsidR="000007DF" w:rsidRDefault="000007DF" w:rsidP="00764F44">
      <w:pPr>
        <w:rPr>
          <w:rFonts w:ascii="Arial" w:hAnsi="Arial" w:cs="Arial"/>
          <w:b/>
          <w:i/>
        </w:rPr>
      </w:pPr>
    </w:p>
    <w:p w:rsidR="000007DF" w:rsidRDefault="000007DF" w:rsidP="00764F44">
      <w:pPr>
        <w:rPr>
          <w:rFonts w:ascii="Arial" w:hAnsi="Arial" w:cs="Arial"/>
          <w:b/>
          <w:i/>
        </w:rPr>
      </w:pPr>
    </w:p>
    <w:p w:rsidR="00764F44" w:rsidRPr="00F46CCC" w:rsidRDefault="00764F44" w:rsidP="00764F44">
      <w:pPr>
        <w:rPr>
          <w:rFonts w:ascii="Arial" w:hAnsi="Arial" w:cs="Arial"/>
          <w:b/>
          <w:i/>
        </w:rPr>
      </w:pPr>
      <w:bookmarkStart w:id="0" w:name="_GoBack"/>
      <w:bookmarkEnd w:id="0"/>
      <w:r w:rsidRPr="00F46CCC">
        <w:rPr>
          <w:rFonts w:ascii="Arial" w:hAnsi="Arial" w:cs="Arial"/>
          <w:b/>
          <w:i/>
        </w:rPr>
        <w:t>Teknik Özell</w:t>
      </w:r>
      <w:r>
        <w:rPr>
          <w:rFonts w:ascii="Arial" w:hAnsi="Arial" w:cs="Arial"/>
          <w:b/>
          <w:i/>
        </w:rPr>
        <w:t xml:space="preserve">ikler </w:t>
      </w:r>
    </w:p>
    <w:tbl>
      <w:tblPr>
        <w:tblW w:w="9870" w:type="dxa"/>
        <w:tblBorders>
          <w:top w:val="single" w:sz="8" w:space="0" w:color="4BACC6"/>
          <w:bottom w:val="single" w:sz="8" w:space="0" w:color="4BACC6"/>
        </w:tblBorders>
        <w:tblLayout w:type="fixed"/>
        <w:tblLook w:val="04A0" w:firstRow="1" w:lastRow="0" w:firstColumn="1" w:lastColumn="0" w:noHBand="0" w:noVBand="1"/>
      </w:tblPr>
      <w:tblGrid>
        <w:gridCol w:w="4104"/>
        <w:gridCol w:w="2808"/>
        <w:gridCol w:w="2958"/>
      </w:tblGrid>
      <w:tr w:rsidR="00764F44" w:rsidRPr="00F46CCC" w:rsidTr="00EF3304">
        <w:trPr>
          <w:trHeight w:val="655"/>
        </w:trPr>
        <w:tc>
          <w:tcPr>
            <w:tcW w:w="4104" w:type="dxa"/>
            <w:tcBorders>
              <w:top w:val="single" w:sz="8" w:space="0" w:color="4BACC6"/>
              <w:left w:val="nil"/>
              <w:bottom w:val="single" w:sz="8" w:space="0" w:color="4BACC6"/>
              <w:right w:val="nil"/>
            </w:tcBorders>
          </w:tcPr>
          <w:p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Borders>
              <w:top w:val="single" w:sz="8" w:space="0" w:color="4BACC6"/>
              <w:left w:val="nil"/>
              <w:bottom w:val="single" w:sz="8" w:space="0" w:color="4BACC6"/>
              <w:right w:val="nil"/>
            </w:tcBorders>
          </w:tcPr>
          <w:p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Borders>
              <w:top w:val="single" w:sz="8" w:space="0" w:color="4BACC6"/>
              <w:left w:val="nil"/>
              <w:bottom w:val="single" w:sz="8" w:space="0" w:color="4BACC6"/>
              <w:right w:val="nil"/>
            </w:tcBorders>
          </w:tcPr>
          <w:p w:rsidR="00764F44" w:rsidRPr="00F46CCC" w:rsidRDefault="00EE5555" w:rsidP="00EF3304">
            <w:pPr>
              <w:rPr>
                <w:rFonts w:ascii="Arial" w:hAnsi="Arial" w:cs="Arial"/>
                <w:b/>
                <w:bCs/>
                <w:lang w:val="en-US"/>
              </w:rPr>
            </w:pPr>
            <w:r>
              <w:rPr>
                <w:rFonts w:ascii="Arial" w:hAnsi="Arial" w:cs="Arial"/>
                <w:b/>
                <w:bCs/>
                <w:lang w:val="en-US"/>
              </w:rPr>
              <w:t xml:space="preserve">Tipik Değerler </w:t>
            </w:r>
          </w:p>
        </w:tc>
      </w:tr>
      <w:tr w:rsidR="009D710A" w:rsidRPr="00F46CCC" w:rsidTr="00E07FE6">
        <w:trPr>
          <w:trHeight w:val="787"/>
        </w:trPr>
        <w:tc>
          <w:tcPr>
            <w:tcW w:w="4104" w:type="dxa"/>
            <w:shd w:val="clear" w:color="auto" w:fill="F4B083" w:themeFill="accent2" w:themeFillTint="99"/>
            <w:vAlign w:val="center"/>
          </w:tcPr>
          <w:p w:rsidR="009D710A" w:rsidRPr="009D710A" w:rsidRDefault="009D710A" w:rsidP="009D710A">
            <w:pPr>
              <w:spacing w:before="100" w:beforeAutospacing="1" w:after="100" w:afterAutospacing="1" w:line="360" w:lineRule="auto"/>
              <w:jc w:val="center"/>
              <w:textAlignment w:val="baseline"/>
              <w:rPr>
                <w:rFonts w:ascii="Arial" w:eastAsia="Calibri" w:hAnsi="Arial" w:cs="Arial"/>
                <w:b/>
                <w:bCs/>
                <w:szCs w:val="22"/>
              </w:rPr>
            </w:pPr>
            <w:r w:rsidRPr="009D710A">
              <w:rPr>
                <w:rFonts w:ascii="Arial" w:eastAsia="Calibri" w:hAnsi="Arial" w:cs="Arial"/>
                <w:b/>
                <w:bCs/>
                <w:szCs w:val="22"/>
              </w:rPr>
              <w:t>Kinematik Viskozite (100°C), [cSt]</w:t>
            </w:r>
          </w:p>
        </w:tc>
        <w:tc>
          <w:tcPr>
            <w:tcW w:w="2808" w:type="dxa"/>
            <w:shd w:val="clear" w:color="auto" w:fill="F4B083" w:themeFill="accent2" w:themeFillTint="99"/>
          </w:tcPr>
          <w:p w:rsidR="009D710A" w:rsidRPr="00F46CCC" w:rsidRDefault="009D710A" w:rsidP="009D710A">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rsidR="009D710A" w:rsidRPr="00F46CCC" w:rsidRDefault="009D710A" w:rsidP="009D710A">
            <w:pPr>
              <w:rPr>
                <w:rFonts w:ascii="Arial" w:hAnsi="Arial" w:cs="Arial"/>
                <w:lang w:val="en-US"/>
              </w:rPr>
            </w:pPr>
            <w:r>
              <w:rPr>
                <w:rFonts w:ascii="Arial" w:hAnsi="Arial" w:cs="Arial"/>
                <w:lang w:val="en-US"/>
              </w:rPr>
              <w:t>12,5-16,3</w:t>
            </w:r>
          </w:p>
        </w:tc>
      </w:tr>
      <w:tr w:rsidR="009D710A" w:rsidRPr="00F46CCC" w:rsidTr="00E07FE6">
        <w:trPr>
          <w:trHeight w:val="461"/>
        </w:trPr>
        <w:tc>
          <w:tcPr>
            <w:tcW w:w="4104" w:type="dxa"/>
            <w:tcBorders>
              <w:left w:val="nil"/>
              <w:right w:val="nil"/>
            </w:tcBorders>
            <w:shd w:val="clear" w:color="auto" w:fill="auto"/>
            <w:vAlign w:val="center"/>
          </w:tcPr>
          <w:p w:rsidR="009D710A" w:rsidRPr="009D710A" w:rsidRDefault="009D710A" w:rsidP="009D710A">
            <w:pPr>
              <w:spacing w:before="100" w:beforeAutospacing="1" w:after="100" w:afterAutospacing="1" w:line="360" w:lineRule="auto"/>
              <w:jc w:val="center"/>
              <w:textAlignment w:val="baseline"/>
              <w:rPr>
                <w:rFonts w:ascii="Arial" w:eastAsia="Calibri" w:hAnsi="Arial" w:cs="Arial"/>
                <w:b/>
                <w:bCs/>
                <w:szCs w:val="22"/>
              </w:rPr>
            </w:pPr>
            <w:r w:rsidRPr="009D710A">
              <w:rPr>
                <w:rFonts w:ascii="Arial" w:eastAsia="Calibri" w:hAnsi="Arial" w:cs="Arial"/>
                <w:b/>
                <w:bCs/>
                <w:szCs w:val="22"/>
              </w:rPr>
              <w:t>Viskozite İndeksi</w:t>
            </w:r>
          </w:p>
        </w:tc>
        <w:tc>
          <w:tcPr>
            <w:tcW w:w="2808" w:type="dxa"/>
            <w:tcBorders>
              <w:left w:val="nil"/>
              <w:right w:val="nil"/>
            </w:tcBorders>
            <w:shd w:val="clear" w:color="auto" w:fill="auto"/>
          </w:tcPr>
          <w:p w:rsidR="009D710A" w:rsidRPr="00F46CCC" w:rsidRDefault="009D710A" w:rsidP="009D710A">
            <w:pPr>
              <w:rPr>
                <w:rFonts w:ascii="Arial" w:hAnsi="Arial" w:cs="Arial"/>
                <w:lang w:val="en-US"/>
              </w:rPr>
            </w:pPr>
            <w:r w:rsidRPr="00F46CCC">
              <w:rPr>
                <w:rFonts w:ascii="Arial" w:hAnsi="Arial" w:cs="Arial"/>
                <w:lang w:val="en-US"/>
              </w:rPr>
              <w:t>ASTM D2270</w:t>
            </w:r>
          </w:p>
        </w:tc>
        <w:tc>
          <w:tcPr>
            <w:tcW w:w="2958" w:type="dxa"/>
            <w:tcBorders>
              <w:left w:val="nil"/>
              <w:right w:val="nil"/>
            </w:tcBorders>
            <w:shd w:val="clear" w:color="auto" w:fill="auto"/>
          </w:tcPr>
          <w:p w:rsidR="009D710A" w:rsidRPr="00F46CCC" w:rsidRDefault="009D710A" w:rsidP="009D710A">
            <w:pPr>
              <w:rPr>
                <w:rFonts w:ascii="Arial" w:hAnsi="Arial" w:cs="Arial"/>
                <w:lang w:val="en-US"/>
              </w:rPr>
            </w:pPr>
            <w:r>
              <w:rPr>
                <w:rFonts w:ascii="Arial" w:hAnsi="Arial" w:cs="Arial"/>
                <w:lang w:val="en-US"/>
              </w:rPr>
              <w:t>Min. 145</w:t>
            </w:r>
          </w:p>
        </w:tc>
      </w:tr>
      <w:tr w:rsidR="009D710A" w:rsidRPr="00F46CCC" w:rsidTr="00E07FE6">
        <w:trPr>
          <w:trHeight w:val="461"/>
        </w:trPr>
        <w:tc>
          <w:tcPr>
            <w:tcW w:w="4104" w:type="dxa"/>
            <w:shd w:val="clear" w:color="auto" w:fill="F4B083" w:themeFill="accent2" w:themeFillTint="99"/>
            <w:vAlign w:val="center"/>
          </w:tcPr>
          <w:p w:rsidR="009D710A" w:rsidRPr="009D710A" w:rsidRDefault="009D710A" w:rsidP="009D710A">
            <w:pPr>
              <w:spacing w:before="100" w:beforeAutospacing="1" w:after="100" w:afterAutospacing="1" w:line="360" w:lineRule="auto"/>
              <w:jc w:val="center"/>
              <w:textAlignment w:val="baseline"/>
              <w:rPr>
                <w:rFonts w:ascii="Arial" w:eastAsia="Calibri" w:hAnsi="Arial" w:cs="Arial"/>
                <w:b/>
                <w:bCs/>
                <w:szCs w:val="22"/>
              </w:rPr>
            </w:pPr>
            <w:r w:rsidRPr="009D710A">
              <w:rPr>
                <w:rFonts w:ascii="Arial" w:eastAsia="Calibri" w:hAnsi="Arial" w:cs="Arial"/>
                <w:b/>
                <w:bCs/>
                <w:szCs w:val="22"/>
              </w:rPr>
              <w:t>Parlama Noktası, °C</w:t>
            </w:r>
          </w:p>
        </w:tc>
        <w:tc>
          <w:tcPr>
            <w:tcW w:w="2808" w:type="dxa"/>
            <w:shd w:val="clear" w:color="auto" w:fill="F4B083" w:themeFill="accent2" w:themeFillTint="99"/>
          </w:tcPr>
          <w:p w:rsidR="009D710A" w:rsidRPr="00F46CCC" w:rsidRDefault="009D710A" w:rsidP="009D710A">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rsidR="009D710A" w:rsidRPr="00F46CCC" w:rsidRDefault="009D710A" w:rsidP="009D710A">
            <w:pPr>
              <w:rPr>
                <w:rFonts w:ascii="Arial" w:hAnsi="Arial" w:cs="Arial"/>
                <w:lang w:val="en-US"/>
              </w:rPr>
            </w:pPr>
            <w:r>
              <w:rPr>
                <w:rFonts w:ascii="Arial" w:hAnsi="Arial" w:cs="Arial"/>
                <w:lang w:val="en-US"/>
              </w:rPr>
              <w:t>Min. 220</w:t>
            </w:r>
          </w:p>
        </w:tc>
      </w:tr>
      <w:tr w:rsidR="009D710A" w:rsidRPr="00F46CCC" w:rsidTr="00E07FE6">
        <w:trPr>
          <w:trHeight w:val="461"/>
        </w:trPr>
        <w:tc>
          <w:tcPr>
            <w:tcW w:w="4104" w:type="dxa"/>
            <w:tcBorders>
              <w:left w:val="nil"/>
              <w:right w:val="nil"/>
            </w:tcBorders>
            <w:shd w:val="clear" w:color="auto" w:fill="auto"/>
            <w:vAlign w:val="center"/>
          </w:tcPr>
          <w:p w:rsidR="009D710A" w:rsidRPr="009D710A" w:rsidRDefault="009D710A" w:rsidP="009D710A">
            <w:pPr>
              <w:spacing w:before="100" w:beforeAutospacing="1" w:after="100" w:afterAutospacing="1" w:line="360" w:lineRule="auto"/>
              <w:jc w:val="center"/>
              <w:textAlignment w:val="baseline"/>
              <w:rPr>
                <w:rFonts w:ascii="Arial" w:eastAsia="Calibri" w:hAnsi="Arial" w:cs="Arial"/>
                <w:b/>
                <w:bCs/>
                <w:szCs w:val="22"/>
              </w:rPr>
            </w:pPr>
            <w:r w:rsidRPr="009D710A">
              <w:rPr>
                <w:rFonts w:ascii="Arial" w:eastAsia="Calibri" w:hAnsi="Arial" w:cs="Arial"/>
                <w:b/>
                <w:bCs/>
                <w:szCs w:val="22"/>
              </w:rPr>
              <w:t>Akma Noktası, °C</w:t>
            </w:r>
          </w:p>
        </w:tc>
        <w:tc>
          <w:tcPr>
            <w:tcW w:w="2808" w:type="dxa"/>
            <w:tcBorders>
              <w:left w:val="nil"/>
              <w:right w:val="nil"/>
            </w:tcBorders>
            <w:shd w:val="clear" w:color="auto" w:fill="auto"/>
          </w:tcPr>
          <w:p w:rsidR="009D710A" w:rsidRPr="00F46CCC" w:rsidRDefault="009D710A" w:rsidP="009D710A">
            <w:pPr>
              <w:rPr>
                <w:rFonts w:ascii="Arial" w:hAnsi="Arial" w:cs="Arial"/>
                <w:lang w:val="en-US"/>
              </w:rPr>
            </w:pPr>
            <w:r w:rsidRPr="00F46CCC">
              <w:rPr>
                <w:rFonts w:ascii="Arial" w:hAnsi="Arial" w:cs="Arial"/>
                <w:lang w:val="en-US"/>
              </w:rPr>
              <w:t>ASTM D97</w:t>
            </w:r>
          </w:p>
        </w:tc>
        <w:tc>
          <w:tcPr>
            <w:tcW w:w="2958" w:type="dxa"/>
            <w:tcBorders>
              <w:left w:val="nil"/>
              <w:right w:val="nil"/>
            </w:tcBorders>
            <w:shd w:val="clear" w:color="auto" w:fill="auto"/>
          </w:tcPr>
          <w:p w:rsidR="009D710A" w:rsidRPr="00F46CCC" w:rsidRDefault="009D710A" w:rsidP="009D710A">
            <w:pPr>
              <w:rPr>
                <w:rFonts w:ascii="Arial" w:hAnsi="Arial" w:cs="Arial"/>
                <w:lang w:val="en-US"/>
              </w:rPr>
            </w:pPr>
            <w:r w:rsidRPr="00F46CCC">
              <w:rPr>
                <w:rFonts w:ascii="Arial" w:hAnsi="Arial" w:cs="Arial"/>
                <w:lang w:val="en-US"/>
              </w:rPr>
              <w:t>Max. -</w:t>
            </w:r>
            <w:r>
              <w:rPr>
                <w:rFonts w:ascii="Arial" w:hAnsi="Arial" w:cs="Arial"/>
                <w:lang w:val="en-US"/>
              </w:rPr>
              <w:t>27</w:t>
            </w:r>
          </w:p>
        </w:tc>
      </w:tr>
    </w:tbl>
    <w:p w:rsidR="00562EAD" w:rsidRPr="00F67BC5" w:rsidRDefault="00562EAD" w:rsidP="00F67BC5">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77" w:rsidRDefault="00A65E77" w:rsidP="00562EAD">
      <w:r>
        <w:separator/>
      </w:r>
    </w:p>
  </w:endnote>
  <w:endnote w:type="continuationSeparator" w:id="0">
    <w:p w:rsidR="00A65E77" w:rsidRDefault="00A65E77"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A65E77"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77" w:rsidRDefault="00A65E77" w:rsidP="00562EAD">
      <w:r>
        <w:separator/>
      </w:r>
    </w:p>
  </w:footnote>
  <w:footnote w:type="continuationSeparator" w:id="0">
    <w:p w:rsidR="00A65E77" w:rsidRDefault="00A65E77"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A221EB" w:rsidRPr="00A221EB">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CE959EE"/>
    <w:multiLevelType w:val="hybridMultilevel"/>
    <w:tmpl w:val="A8787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007DF"/>
    <w:rsid w:val="000C234D"/>
    <w:rsid w:val="000E062C"/>
    <w:rsid w:val="001E6504"/>
    <w:rsid w:val="003223BA"/>
    <w:rsid w:val="0035395C"/>
    <w:rsid w:val="003A3E02"/>
    <w:rsid w:val="00411092"/>
    <w:rsid w:val="00545FA5"/>
    <w:rsid w:val="00562EAD"/>
    <w:rsid w:val="005E3B99"/>
    <w:rsid w:val="006A4C15"/>
    <w:rsid w:val="00703054"/>
    <w:rsid w:val="00725DD1"/>
    <w:rsid w:val="0075578A"/>
    <w:rsid w:val="00764F44"/>
    <w:rsid w:val="00776D4A"/>
    <w:rsid w:val="0081532D"/>
    <w:rsid w:val="00915939"/>
    <w:rsid w:val="00994BCD"/>
    <w:rsid w:val="009D710A"/>
    <w:rsid w:val="00A03618"/>
    <w:rsid w:val="00A210D1"/>
    <w:rsid w:val="00A221EB"/>
    <w:rsid w:val="00A61F2B"/>
    <w:rsid w:val="00A65E77"/>
    <w:rsid w:val="00AA3EDB"/>
    <w:rsid w:val="00BE6A2B"/>
    <w:rsid w:val="00C27BC8"/>
    <w:rsid w:val="00DF637E"/>
    <w:rsid w:val="00EE5555"/>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2021-11-25T06:20:00Z</dcterms:created>
  <dcterms:modified xsi:type="dcterms:W3CDTF">2021-12-29T10:39:00Z</dcterms:modified>
</cp:coreProperties>
</file>